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sz w:val="20"/>
          <w:szCs w:val="20"/>
        </w:rPr>
      </w:pPr>
    </w:p>
    <w:p>
      <w:pPr>
        <w:pStyle w:val="3"/>
        <w:tabs>
          <w:tab w:val="left" w:pos="6427"/>
        </w:tabs>
        <w:spacing w:before="388"/>
        <w:ind w:left="0"/>
        <w:jc w:val="center"/>
        <w:rPr>
          <w:rFonts w:hint="eastAsia"/>
          <w:lang w:val="en-US" w:eastAsia="zh-CN"/>
        </w:rPr>
      </w:pPr>
    </w:p>
    <w:p>
      <w:pPr>
        <w:pStyle w:val="3"/>
        <w:tabs>
          <w:tab w:val="left" w:pos="6427"/>
        </w:tabs>
        <w:spacing w:before="388"/>
        <w:ind w:left="0"/>
        <w:jc w:val="center"/>
        <w:rPr>
          <w:rFonts w:hint="eastAsia"/>
          <w:lang w:val="en-US" w:eastAsia="zh-CN"/>
        </w:rPr>
      </w:pPr>
    </w:p>
    <w:p>
      <w:pPr>
        <w:pStyle w:val="3"/>
        <w:tabs>
          <w:tab w:val="left" w:pos="6427"/>
        </w:tabs>
        <w:spacing w:before="388"/>
        <w:ind w:left="0"/>
        <w:jc w:val="center"/>
        <w:rPr>
          <w:lang w:eastAsia="zh-CN"/>
        </w:rPr>
      </w:pPr>
      <w:r>
        <w:rPr>
          <w:rFonts w:hint="eastAsia"/>
          <w:lang w:val="en-US" w:eastAsia="zh-CN"/>
        </w:rPr>
        <w:t>北政</w:t>
      </w:r>
      <w:r>
        <w:rPr>
          <w:lang w:eastAsia="zh-CN"/>
        </w:rPr>
        <w:t>发</w:t>
      </w:r>
      <w:r>
        <w:rPr>
          <w:rFonts w:hint="eastAsia" w:ascii="仿宋_GB2312" w:hAnsi="仿宋_GB2312" w:eastAsia="仿宋_GB2312" w:cs="仿宋_GB2312"/>
          <w:lang w:eastAsia="zh-CN"/>
        </w:rPr>
        <w:t>〔2021〕</w:t>
      </w:r>
      <w:r>
        <w:rPr>
          <w:rFonts w:hint="eastAsia" w:cs="仿宋_GB2312"/>
          <w:lang w:val="en-US" w:eastAsia="zh-CN"/>
        </w:rPr>
        <w:t>22</w:t>
      </w:r>
      <w:r>
        <w:rPr>
          <w:lang w:eastAsia="zh-CN"/>
        </w:rPr>
        <w:t>号</w:t>
      </w:r>
    </w:p>
    <w:p>
      <w:pPr>
        <w:pStyle w:val="2"/>
        <w:keepNext w:val="0"/>
        <w:keepLines w:val="0"/>
        <w:pageBreakBefore w:val="0"/>
        <w:widowControl w:val="0"/>
        <w:tabs>
          <w:tab w:val="left" w:pos="1666"/>
        </w:tabs>
        <w:kinsoku/>
        <w:wordWrap/>
        <w:overflowPunct w:val="0"/>
        <w:topLinePunct w:val="0"/>
        <w:autoSpaceDE/>
        <w:autoSpaceDN/>
        <w:bidi w:val="0"/>
        <w:adjustRightInd w:val="0"/>
        <w:snapToGrid w:val="0"/>
        <w:spacing w:line="540" w:lineRule="exact"/>
        <w:ind w:left="0"/>
        <w:jc w:val="both"/>
        <w:textAlignment w:val="auto"/>
        <w:rPr>
          <w:lang w:eastAsia="zh-CN"/>
        </w:rPr>
      </w:pPr>
    </w:p>
    <w:p>
      <w:pPr>
        <w:pStyle w:val="2"/>
        <w:keepNext w:val="0"/>
        <w:keepLines w:val="0"/>
        <w:pageBreakBefore w:val="0"/>
        <w:widowControl w:val="0"/>
        <w:tabs>
          <w:tab w:val="left" w:pos="1666"/>
        </w:tabs>
        <w:kinsoku/>
        <w:wordWrap/>
        <w:overflowPunct w:val="0"/>
        <w:topLinePunct w:val="0"/>
        <w:autoSpaceDE/>
        <w:autoSpaceDN/>
        <w:bidi w:val="0"/>
        <w:adjustRightInd w:val="0"/>
        <w:snapToGrid w:val="0"/>
        <w:spacing w:line="540" w:lineRule="exact"/>
        <w:ind w:left="0"/>
        <w:jc w:val="center"/>
        <w:textAlignment w:val="auto"/>
        <w:rPr>
          <w:lang w:eastAsia="zh-CN"/>
        </w:rPr>
      </w:pPr>
    </w:p>
    <w:p>
      <w:pPr>
        <w:pStyle w:val="2"/>
        <w:keepNext w:val="0"/>
        <w:keepLines w:val="0"/>
        <w:pageBreakBefore w:val="0"/>
        <w:widowControl w:val="0"/>
        <w:tabs>
          <w:tab w:val="left" w:pos="1666"/>
        </w:tabs>
        <w:kinsoku/>
        <w:wordWrap/>
        <w:overflowPunct w:val="0"/>
        <w:topLinePunct w:val="0"/>
        <w:autoSpaceDE/>
        <w:autoSpaceDN/>
        <w:bidi w:val="0"/>
        <w:adjustRightInd w:val="0"/>
        <w:snapToGrid w:val="0"/>
        <w:spacing w:line="540" w:lineRule="exact"/>
        <w:ind w:left="0"/>
        <w:jc w:val="center"/>
        <w:textAlignment w:val="auto"/>
        <w:rPr>
          <w:lang w:eastAsia="zh-CN"/>
        </w:rPr>
      </w:pPr>
      <w:bookmarkStart w:id="0" w:name="_GoBack"/>
      <w:r>
        <w:rPr>
          <w:lang w:eastAsia="zh-CN"/>
        </w:rPr>
        <w:t>关于开展安全生产执法百日攻坚行动的</w:t>
      </w:r>
    </w:p>
    <w:p>
      <w:pPr>
        <w:pStyle w:val="2"/>
        <w:keepNext w:val="0"/>
        <w:keepLines w:val="0"/>
        <w:pageBreakBefore w:val="0"/>
        <w:widowControl w:val="0"/>
        <w:tabs>
          <w:tab w:val="left" w:pos="1666"/>
        </w:tabs>
        <w:kinsoku/>
        <w:wordWrap/>
        <w:overflowPunct w:val="0"/>
        <w:topLinePunct w:val="0"/>
        <w:autoSpaceDE/>
        <w:autoSpaceDN/>
        <w:bidi w:val="0"/>
        <w:adjustRightInd w:val="0"/>
        <w:snapToGrid w:val="0"/>
        <w:spacing w:line="540" w:lineRule="exact"/>
        <w:ind w:left="0"/>
        <w:jc w:val="center"/>
        <w:textAlignment w:val="auto"/>
        <w:rPr>
          <w:lang w:eastAsia="zh-CN"/>
        </w:rPr>
      </w:pPr>
      <w:r>
        <w:rPr>
          <w:lang w:eastAsia="zh-CN"/>
        </w:rPr>
        <w:t>通</w:t>
      </w:r>
      <w:r>
        <w:rPr>
          <w:rFonts w:hint="eastAsia"/>
          <w:lang w:eastAsia="zh-CN"/>
        </w:rPr>
        <w:t xml:space="preserve">  </w:t>
      </w:r>
      <w:r>
        <w:rPr>
          <w:lang w:eastAsia="zh-CN"/>
        </w:rPr>
        <w:t>知</w:t>
      </w:r>
    </w:p>
    <w:bookmarkEnd w:id="0"/>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jc w:val="both"/>
        <w:textAlignment w:val="auto"/>
        <w:rPr>
          <w:lang w:eastAsia="zh-CN"/>
        </w:rPr>
      </w:pPr>
      <w:r>
        <w:rPr>
          <w:lang w:eastAsia="zh-CN"/>
        </w:rPr>
        <w:t>各</w:t>
      </w:r>
      <w:r>
        <w:rPr>
          <w:rFonts w:hint="eastAsia" w:asciiTheme="minorHAnsi" w:hAnsiTheme="minorHAnsi"/>
          <w:lang w:val="en-US" w:eastAsia="zh-CN"/>
        </w:rPr>
        <w:t>行政村</w:t>
      </w:r>
      <w:r>
        <w:rPr>
          <w:rFonts w:hint="eastAsia" w:asciiTheme="minorHAnsi" w:hAnsiTheme="minorHAnsi"/>
          <w:lang w:eastAsia="zh-CN"/>
        </w:rPr>
        <w:t>、</w:t>
      </w:r>
      <w:r>
        <w:rPr>
          <w:rFonts w:hint="eastAsia" w:ascii="仿宋_GB2312" w:eastAsia="仿宋_GB2312"/>
          <w:sz w:val="32"/>
          <w:szCs w:val="32"/>
          <w:lang w:val="en-US" w:eastAsia="zh-CN"/>
        </w:rPr>
        <w:t>镇</w:t>
      </w:r>
      <w:r>
        <w:rPr>
          <w:rFonts w:hint="eastAsia" w:ascii="仿宋_GB2312" w:eastAsia="仿宋_GB2312"/>
          <w:sz w:val="32"/>
          <w:szCs w:val="32"/>
        </w:rPr>
        <w:t>安委会</w:t>
      </w:r>
      <w:r>
        <w:rPr>
          <w:rFonts w:hint="eastAsia"/>
          <w:sz w:val="32"/>
          <w:szCs w:val="32"/>
          <w:lang w:val="en-US" w:eastAsia="zh-CN"/>
        </w:rPr>
        <w:t>有关</w:t>
      </w:r>
      <w:r>
        <w:rPr>
          <w:rFonts w:hint="eastAsia" w:ascii="仿宋_GB2312" w:eastAsia="仿宋_GB2312"/>
          <w:sz w:val="32"/>
          <w:szCs w:val="32"/>
        </w:rPr>
        <w:t>成员单位</w:t>
      </w:r>
      <w:r>
        <w:rPr>
          <w:lang w:eastAsia="zh-CN"/>
        </w:rPr>
        <w:t>：</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textAlignment w:val="auto"/>
        <w:rPr>
          <w:lang w:eastAsia="zh-CN"/>
        </w:rPr>
      </w:pPr>
      <w:r>
        <w:rPr>
          <w:lang w:eastAsia="zh-CN"/>
        </w:rPr>
        <w:t>为认真贯彻落实1月26日全省安全生产工作专题会议</w:t>
      </w:r>
      <w:r>
        <w:rPr>
          <w:rFonts w:hint="eastAsia"/>
          <w:lang w:eastAsia="zh-CN"/>
        </w:rPr>
        <w:t>和1月28日市、区安全生产工作专题会议</w:t>
      </w:r>
      <w:r>
        <w:rPr>
          <w:lang w:eastAsia="zh-CN"/>
        </w:rPr>
        <w:t>精神，强化</w:t>
      </w:r>
      <w:r>
        <w:rPr>
          <w:rFonts w:hint="eastAsia"/>
          <w:lang w:eastAsia="zh-CN"/>
        </w:rPr>
        <w:t>安全生产</w:t>
      </w:r>
      <w:r>
        <w:rPr>
          <w:lang w:eastAsia="zh-CN"/>
        </w:rPr>
        <w:t>执法检查，推动企业主体责任落实，</w:t>
      </w:r>
      <w:r>
        <w:rPr>
          <w:rFonts w:hint="eastAsia"/>
          <w:lang w:eastAsia="zh-CN"/>
        </w:rPr>
        <w:t>根据</w:t>
      </w:r>
      <w:r>
        <w:rPr>
          <w:rFonts w:hint="eastAsia"/>
          <w:lang w:val="en-US" w:eastAsia="zh-CN"/>
        </w:rPr>
        <w:t>区</w:t>
      </w:r>
      <w:r>
        <w:rPr>
          <w:rFonts w:hint="eastAsia"/>
          <w:lang w:eastAsia="zh-CN"/>
        </w:rPr>
        <w:t>安委会办公室《关于开展安全生产执法百日攻坚行动的通知》（山</w:t>
      </w:r>
      <w:r>
        <w:rPr>
          <w:lang w:eastAsia="zh-CN"/>
        </w:rPr>
        <w:t>安办发</w:t>
      </w:r>
      <w:r>
        <w:rPr>
          <w:rFonts w:hint="eastAsia" w:ascii="仿宋_GB2312" w:hAnsi="仿宋_GB2312" w:eastAsia="仿宋_GB2312" w:cs="仿宋_GB2312"/>
          <w:lang w:eastAsia="zh-CN"/>
        </w:rPr>
        <w:t>〔2021〕</w:t>
      </w:r>
      <w:r>
        <w:rPr>
          <w:rFonts w:hint="eastAsia" w:cs="仿宋_GB2312"/>
          <w:lang w:val="en-US" w:eastAsia="zh-CN"/>
        </w:rPr>
        <w:t>18</w:t>
      </w:r>
      <w:r>
        <w:rPr>
          <w:lang w:eastAsia="zh-CN"/>
        </w:rPr>
        <w:t>号</w:t>
      </w:r>
      <w:r>
        <w:rPr>
          <w:rFonts w:hint="eastAsia"/>
          <w:lang w:eastAsia="zh-CN"/>
        </w:rPr>
        <w:t>）精神，结合我</w:t>
      </w:r>
      <w:r>
        <w:rPr>
          <w:rFonts w:hint="eastAsia"/>
          <w:lang w:val="en-US" w:eastAsia="zh-CN"/>
        </w:rPr>
        <w:t>镇</w:t>
      </w:r>
      <w:r>
        <w:rPr>
          <w:rFonts w:hint="eastAsia"/>
          <w:lang w:eastAsia="zh-CN"/>
        </w:rPr>
        <w:t>实际，</w:t>
      </w:r>
      <w:r>
        <w:rPr>
          <w:rFonts w:hint="eastAsia"/>
          <w:lang w:val="en-US" w:eastAsia="zh-CN"/>
        </w:rPr>
        <w:t>镇</w:t>
      </w:r>
      <w:r>
        <w:rPr>
          <w:lang w:eastAsia="zh-CN"/>
        </w:rPr>
        <w:t>安委会决定即日起到6月底，在全</w:t>
      </w:r>
      <w:r>
        <w:rPr>
          <w:rFonts w:hint="eastAsia"/>
          <w:lang w:val="en-US" w:eastAsia="zh-CN"/>
        </w:rPr>
        <w:t>镇</w:t>
      </w:r>
      <w:r>
        <w:rPr>
          <w:lang w:eastAsia="zh-CN"/>
        </w:rPr>
        <w:t>开展安全生产执法百日攻坚行动，现将有关事</w:t>
      </w:r>
      <w:r>
        <w:rPr>
          <w:rFonts w:hint="eastAsia"/>
          <w:lang w:eastAsia="zh-CN"/>
        </w:rPr>
        <w:t>项</w:t>
      </w:r>
      <w:r>
        <w:rPr>
          <w:lang w:eastAsia="zh-CN"/>
        </w:rPr>
        <w:t>通知如下：</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黑体" w:hAnsi="黑体" w:eastAsia="黑体" w:cs="黑体"/>
          <w:lang w:eastAsia="zh-CN"/>
        </w:rPr>
      </w:pPr>
      <w:r>
        <w:rPr>
          <w:rFonts w:ascii="黑体" w:hAnsi="黑体" w:eastAsia="黑体" w:cs="黑体"/>
          <w:lang w:eastAsia="zh-CN"/>
        </w:rPr>
        <w:t>一、工作任务</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lang w:eastAsia="zh-CN"/>
        </w:rPr>
        <w:t>认真落实党中央、国务院关于安全生产工作决策部署和省</w:t>
      </w:r>
      <w:r>
        <w:rPr>
          <w:rFonts w:hint="eastAsia"/>
          <w:lang w:eastAsia="zh-CN"/>
        </w:rPr>
        <w:t>、市、区、</w:t>
      </w:r>
      <w:r>
        <w:rPr>
          <w:rFonts w:hint="eastAsia"/>
          <w:lang w:val="en-US" w:eastAsia="zh-CN"/>
        </w:rPr>
        <w:t>镇</w:t>
      </w:r>
      <w:r>
        <w:rPr>
          <w:rFonts w:hint="eastAsia"/>
          <w:lang w:eastAsia="zh-CN"/>
        </w:rPr>
        <w:t>党委、政府</w:t>
      </w:r>
      <w:r>
        <w:rPr>
          <w:lang w:eastAsia="zh-CN"/>
        </w:rPr>
        <w:t>工作安排，结合安全生产专项整治三年行动和大排查大整治</w:t>
      </w:r>
      <w:r>
        <w:rPr>
          <w:rFonts w:hint="eastAsia"/>
          <w:lang w:eastAsia="zh-CN"/>
        </w:rPr>
        <w:t>专项</w:t>
      </w:r>
      <w:r>
        <w:rPr>
          <w:lang w:eastAsia="zh-CN"/>
        </w:rPr>
        <w:t>行动，集中开展安全生产执法检查，通过严查重罚、联合惩戒、媒体曝光、追责入刑等严厉措施，严厉打击各类安全生产违法违规行为，倒逼企业严格落实安全生产主体责任，严防各类事故发生，确保全</w:t>
      </w:r>
      <w:r>
        <w:rPr>
          <w:rFonts w:hint="eastAsia"/>
          <w:lang w:eastAsia="zh-CN"/>
        </w:rPr>
        <w:t>区</w:t>
      </w:r>
      <w:r>
        <w:rPr>
          <w:lang w:eastAsia="zh-CN"/>
        </w:rPr>
        <w:t>安全生产形势</w:t>
      </w:r>
      <w:r>
        <w:rPr>
          <w:rFonts w:hint="eastAsia"/>
          <w:lang w:eastAsia="zh-CN"/>
        </w:rPr>
        <w:t>持续</w:t>
      </w:r>
      <w:r>
        <w:rPr>
          <w:lang w:eastAsia="zh-CN"/>
        </w:rPr>
        <w:t>稳定。</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黑体" w:hAnsi="黑体" w:eastAsia="黑体" w:cs="黑体"/>
          <w:lang w:eastAsia="zh-CN"/>
        </w:rPr>
      </w:pPr>
      <w:r>
        <w:rPr>
          <w:rFonts w:ascii="黑体" w:hAnsi="黑体" w:eastAsia="黑体" w:cs="黑体"/>
          <w:lang w:eastAsia="zh-CN"/>
        </w:rPr>
        <w:t>二、执法范围</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lang w:eastAsia="zh-CN"/>
        </w:rPr>
        <w:t>聚焦非煤矿山、危化品、</w:t>
      </w:r>
      <w:r>
        <w:rPr>
          <w:rFonts w:hint="eastAsia"/>
          <w:lang w:eastAsia="zh-CN"/>
        </w:rPr>
        <w:t>涉氨制冷等工贸、</w:t>
      </w:r>
      <w:r>
        <w:rPr>
          <w:lang w:eastAsia="zh-CN"/>
        </w:rPr>
        <w:t>建筑施工、交通运输、消防等</w:t>
      </w:r>
      <w:r>
        <w:rPr>
          <w:rFonts w:hint="eastAsia"/>
          <w:lang w:val="en-US" w:eastAsia="zh-CN"/>
        </w:rPr>
        <w:t>6</w:t>
      </w:r>
      <w:r>
        <w:rPr>
          <w:lang w:eastAsia="zh-CN"/>
        </w:rPr>
        <w:t>大重点行业领域，以及城镇燃气、民爆器材、文化旅游等其他领域。</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黑体" w:hAnsi="黑体" w:eastAsia="黑体" w:cs="黑体"/>
          <w:lang w:eastAsia="zh-CN"/>
        </w:rPr>
      </w:pPr>
      <w:r>
        <w:rPr>
          <w:rFonts w:ascii="黑体" w:hAnsi="黑体" w:eastAsia="黑体" w:cs="黑体"/>
          <w:lang w:eastAsia="zh-CN"/>
        </w:rPr>
        <w:t>三、执法重点</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lang w:eastAsia="zh-CN"/>
        </w:rPr>
        <w:t>重点检查企业贯彻执行安全生产法律法规，落实《山东省生产经营单位安全生产主体责任规定》和省应急厅、省法院、省检察院、省公安厅《关于强化企业安全生产主体责任落实的意见》（鲁应急发〔2019〕75号）情况，开展安全生产大排查大整治情况，以及在风险隐患双重预防体系、安全投入、培训教育、资质证照、机构人员、应急管理、危险作业、工艺设备、重大危险源等方面存在的违法行为。各部门根据本部门本行业特点制定具体的执法检查方案。</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黑体" w:hAnsi="黑体" w:eastAsia="黑体" w:cs="黑体"/>
          <w:lang w:eastAsia="zh-CN"/>
        </w:rPr>
      </w:pPr>
      <w:r>
        <w:rPr>
          <w:rFonts w:ascii="黑体" w:hAnsi="黑体" w:eastAsia="黑体" w:cs="黑体"/>
          <w:lang w:eastAsia="zh-CN"/>
        </w:rPr>
        <w:t>四、工作措施</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（一）开展一</w:t>
      </w:r>
      <w:r>
        <w:rPr>
          <w:rFonts w:hint="eastAsia" w:ascii="楷体" w:hAnsi="楷体" w:eastAsia="楷体" w:cs="楷体"/>
          <w:lang w:eastAsia="zh-CN"/>
        </w:rPr>
        <w:t>轮“四不两直”</w:t>
      </w:r>
      <w:r>
        <w:rPr>
          <w:rFonts w:ascii="楷体" w:hAnsi="楷体" w:eastAsia="楷体" w:cs="楷体"/>
          <w:lang w:eastAsia="zh-CN"/>
        </w:rPr>
        <w:t>执法检查。</w:t>
      </w:r>
      <w:r>
        <w:rPr>
          <w:lang w:eastAsia="zh-CN"/>
        </w:rPr>
        <w:t>各部门组织本系统执法人员，</w:t>
      </w:r>
      <w:r>
        <w:rPr>
          <w:rFonts w:hint="eastAsia"/>
          <w:lang w:eastAsia="zh-CN"/>
        </w:rPr>
        <w:t>根据本行业领域实际，采取集中执法、联合执法、异地互查等形式，对所监管的企业单位开展“四不两直”执法检查。具体执法检查形式和时间，由部门结合工作实际确定。无执法权限、职责的部门，也应采取类似形式，对本行业系统开展安全隐患排查整治。</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1.集中执法。部门抽调业务骨干和执法人员，并聘请安全生产专家，集中时间、集中精力，采取“四不两直”方式，对企业（单位）开展执法检查。</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2.联合执法。两个以上部门联合，抽调业务骨干和执法人员，并聘请安全生产专家，采取“四不两直”方式，对企业（单位）开展执法检查。</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3.镇街互查。区级部门牵头，组织镇街对口部门业务骨干和执法人员，并聘请安全生产专家，</w:t>
      </w:r>
      <w:r>
        <w:rPr>
          <w:lang w:eastAsia="zh-CN"/>
        </w:rPr>
        <w:t>采取“A</w:t>
      </w:r>
      <w:r>
        <w:rPr>
          <w:rFonts w:hint="eastAsia"/>
          <w:lang w:eastAsia="zh-CN"/>
        </w:rPr>
        <w:t>镇街</w:t>
      </w:r>
      <w:r>
        <w:rPr>
          <w:lang w:eastAsia="zh-CN"/>
        </w:rPr>
        <w:t>查B</w:t>
      </w:r>
      <w:r>
        <w:rPr>
          <w:rFonts w:hint="eastAsia"/>
          <w:lang w:eastAsia="zh-CN"/>
        </w:rPr>
        <w:t>镇街</w:t>
      </w:r>
      <w:r>
        <w:rPr>
          <w:lang w:eastAsia="zh-CN"/>
        </w:rPr>
        <w:t>、B</w:t>
      </w:r>
      <w:r>
        <w:rPr>
          <w:rFonts w:hint="eastAsia"/>
          <w:lang w:eastAsia="zh-CN"/>
        </w:rPr>
        <w:t>镇街</w:t>
      </w:r>
      <w:r>
        <w:rPr>
          <w:lang w:eastAsia="zh-CN"/>
        </w:rPr>
        <w:t>查C</w:t>
      </w:r>
      <w:r>
        <w:rPr>
          <w:rFonts w:hint="eastAsia"/>
          <w:lang w:eastAsia="zh-CN"/>
        </w:rPr>
        <w:t>镇街</w:t>
      </w:r>
      <w:r>
        <w:rPr>
          <w:lang w:eastAsia="zh-CN"/>
        </w:rPr>
        <w:t>”的模式</w:t>
      </w:r>
      <w:r>
        <w:rPr>
          <w:rFonts w:hint="eastAsia"/>
          <w:lang w:eastAsia="zh-CN"/>
        </w:rPr>
        <w:t>和“四不两直”方式，</w:t>
      </w:r>
      <w:r>
        <w:rPr>
          <w:lang w:eastAsia="zh-CN"/>
        </w:rPr>
        <w:t>对</w:t>
      </w:r>
      <w:r>
        <w:rPr>
          <w:rFonts w:hint="eastAsia"/>
          <w:lang w:eastAsia="zh-CN"/>
        </w:rPr>
        <w:t>各镇街</w:t>
      </w:r>
      <w:r>
        <w:rPr>
          <w:lang w:eastAsia="zh-CN"/>
        </w:rPr>
        <w:t>开展执法检查。执法</w:t>
      </w:r>
      <w:r>
        <w:rPr>
          <w:rFonts w:hint="eastAsia"/>
          <w:lang w:eastAsia="zh-CN"/>
        </w:rPr>
        <w:t>检查</w:t>
      </w:r>
      <w:r>
        <w:rPr>
          <w:lang w:eastAsia="zh-CN"/>
        </w:rPr>
        <w:t>组组长</w:t>
      </w:r>
      <w:r>
        <w:rPr>
          <w:rFonts w:hint="eastAsia"/>
          <w:lang w:eastAsia="zh-CN"/>
        </w:rPr>
        <w:t>由区级部门相关人员担任</w:t>
      </w:r>
      <w:r>
        <w:rPr>
          <w:lang w:eastAsia="zh-CN"/>
        </w:rPr>
        <w:t>，受检</w:t>
      </w:r>
      <w:r>
        <w:rPr>
          <w:rFonts w:hint="eastAsia"/>
          <w:lang w:eastAsia="zh-CN"/>
        </w:rPr>
        <w:t>镇街对口部门</w:t>
      </w:r>
      <w:r>
        <w:rPr>
          <w:lang w:eastAsia="zh-CN"/>
        </w:rPr>
        <w:t>要配置配合人员和执法人员。每</w:t>
      </w:r>
      <w:r>
        <w:rPr>
          <w:rFonts w:hint="eastAsia"/>
          <w:lang w:eastAsia="zh-CN"/>
        </w:rPr>
        <w:t>个镇街</w:t>
      </w:r>
      <w:r>
        <w:rPr>
          <w:lang w:eastAsia="zh-CN"/>
        </w:rPr>
        <w:t>抽查</w:t>
      </w:r>
      <w:r>
        <w:rPr>
          <w:rFonts w:hint="eastAsia"/>
          <w:lang w:eastAsia="zh-CN"/>
        </w:rPr>
        <w:t>企业</w:t>
      </w:r>
      <w:r>
        <w:rPr>
          <w:rFonts w:hint="eastAsia"/>
          <w:lang w:val="en-US" w:eastAsia="zh-CN"/>
        </w:rPr>
        <w:t>2</w:t>
      </w:r>
      <w:r>
        <w:rPr>
          <w:rFonts w:hint="eastAsia"/>
          <w:lang w:eastAsia="zh-CN"/>
        </w:rPr>
        <w:t>－5</w:t>
      </w:r>
      <w:r>
        <w:rPr>
          <w:lang w:eastAsia="zh-CN"/>
        </w:rPr>
        <w:t>家企业。对检查发现问题，制作《异地执法检查问题移交表》（见附件），提出执法处置意见并经执法组、属地配合人员双方共同签字后，移交属地有关部门按照相关要求进行落实，并建立“一企一档”，实行闭环管理。</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楷体" w:hAnsi="楷体" w:eastAsia="楷体" w:cs="楷体"/>
          <w:lang w:eastAsia="zh-CN"/>
        </w:rPr>
      </w:pPr>
      <w:r>
        <w:rPr>
          <w:rFonts w:ascii="楷体" w:hAnsi="楷体" w:eastAsia="楷体" w:cs="楷体"/>
          <w:lang w:eastAsia="zh-CN"/>
        </w:rPr>
        <w:t>（二）</w:t>
      </w:r>
      <w:r>
        <w:rPr>
          <w:rFonts w:hint="eastAsia" w:ascii="楷体" w:hAnsi="楷体" w:eastAsia="楷体" w:cs="楷体"/>
          <w:lang w:eastAsia="zh-CN"/>
        </w:rPr>
        <w:t>完成一批集中攻坚重点任务。</w:t>
      </w:r>
      <w:r>
        <w:rPr>
          <w:rFonts w:hint="eastAsia"/>
          <w:lang w:eastAsia="zh-CN"/>
        </w:rPr>
        <w:t>“四不两直”执法检查的对象，要围绕安全生产专项整治三年行动集中攻坚重点任务目标来确定。相关部门要结合《山亭区安全生产委员会关于印发全区安全生产专项整治三年行动集中攻坚推进方案的通知》（山安发〔202</w:t>
      </w:r>
      <w:r>
        <w:rPr>
          <w:rFonts w:hint="eastAsia"/>
          <w:lang w:val="en-US" w:eastAsia="zh-CN"/>
        </w:rPr>
        <w:t>1</w:t>
      </w:r>
      <w:r>
        <w:rPr>
          <w:rFonts w:hint="eastAsia"/>
          <w:lang w:eastAsia="zh-CN"/>
        </w:rPr>
        <w:t>〕</w:t>
      </w:r>
      <w:r>
        <w:rPr>
          <w:rFonts w:hint="eastAsia"/>
          <w:lang w:val="en-US" w:eastAsia="zh-CN"/>
        </w:rPr>
        <w:t>3</w:t>
      </w:r>
      <w:r>
        <w:rPr>
          <w:rFonts w:hint="eastAsia"/>
          <w:lang w:eastAsia="zh-CN"/>
        </w:rPr>
        <w:t>号）要求，从本部门填报的《安全生产专项整治集中攻坚重点解决突出问题清单》《安全生产专项整治集中攻坚企业（单位）清单》中，选择部分存在突出问题的重点企业开展“四不两直”执法检查。执法检查后，要跟踪抓好处罚措施的落实和问题隐患的整改，并选择正面典型作为对照，通过树立标杆、召开现场会、“开小灶”等方式，推动企业抓好问题整改，推动面上问题解决。</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ascii="楷体" w:hAnsi="楷体" w:eastAsia="楷体" w:cs="楷体"/>
          <w:lang w:eastAsia="zh-CN"/>
        </w:rPr>
        <w:t>（三）</w:t>
      </w:r>
      <w:r>
        <w:rPr>
          <w:rFonts w:ascii="楷体" w:hAnsi="楷体" w:eastAsia="楷体" w:cs="楷体"/>
          <w:lang w:eastAsia="zh-CN"/>
        </w:rPr>
        <w:t>曝光一批违法典型。</w:t>
      </w:r>
      <w:r>
        <w:rPr>
          <w:lang w:eastAsia="zh-CN"/>
        </w:rPr>
        <w:t>执法检查时邀请新闻媒体记者跟踪采访报道，宣传执法检查情况，曝光严重违法行为和重大事故隐患。通过政府网站、信用山东等平台多渠道公布执法检查信息尤其是行政处罚信息，对违法企业形成强力震慑。</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w:t>
      </w:r>
      <w:r>
        <w:rPr>
          <w:rFonts w:hint="eastAsia" w:ascii="楷体" w:hAnsi="楷体" w:eastAsia="楷体" w:cs="楷体"/>
          <w:lang w:eastAsia="zh-CN"/>
        </w:rPr>
        <w:t>四</w:t>
      </w:r>
      <w:r>
        <w:rPr>
          <w:rFonts w:ascii="楷体" w:hAnsi="楷体" w:eastAsia="楷体" w:cs="楷体"/>
          <w:lang w:eastAsia="zh-CN"/>
        </w:rPr>
        <w:t>）追究一批违法责任人责任。</w:t>
      </w:r>
      <w:r>
        <w:rPr>
          <w:lang w:eastAsia="zh-CN"/>
        </w:rPr>
        <w:t>对企业违章作业、违章指挥、违反劳动纪律的“三违”行为，依法严厉查处，涉嫌违反《中华人民共和国刑法修正案(十一)》规定的，移交司法机关追究刑事责任。对执法检查中发现的重大事故隐患，一律视同事故，严肃追究企业负责人及有关责任人的责任。</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w:t>
      </w:r>
      <w:r>
        <w:rPr>
          <w:rFonts w:hint="eastAsia" w:ascii="楷体" w:hAnsi="楷体" w:eastAsia="楷体" w:cs="楷体"/>
          <w:lang w:eastAsia="zh-CN"/>
        </w:rPr>
        <w:t>五</w:t>
      </w:r>
      <w:r>
        <w:rPr>
          <w:rFonts w:ascii="楷体" w:hAnsi="楷体" w:eastAsia="楷体" w:cs="楷体"/>
          <w:lang w:eastAsia="zh-CN"/>
        </w:rPr>
        <w:t>）惩处一批严重违法企业。</w:t>
      </w:r>
      <w:r>
        <w:rPr>
          <w:lang w:eastAsia="zh-CN"/>
        </w:rPr>
        <w:t>以零容忍的态度坚决惩治违法行为，对企业排查隐患走过场、执法检查发现问题未整改或整改不到位、反复发生生产事故的，一律依法顶格处罚。企业自查自改后仍然存在重大隐患和非法违法行为的，一律依法停产整顿；经停产整顿到期仍达不到安全生产要求的，一律依法关闭取缔；存在重大安全风险、长期处于停产状态、不再具备安全生产条件的企业，一律依法注销安全生产许可证。</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rFonts w:ascii="黑体" w:hAnsi="黑体" w:eastAsia="黑体" w:cs="黑体"/>
          <w:lang w:eastAsia="zh-CN"/>
        </w:rPr>
      </w:pPr>
      <w:r>
        <w:rPr>
          <w:rFonts w:ascii="黑体" w:hAnsi="黑体" w:eastAsia="黑体" w:cs="黑体"/>
          <w:lang w:eastAsia="zh-CN"/>
        </w:rPr>
        <w:t>五、工作要求</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（一）加强组织领导。</w:t>
      </w:r>
      <w:r>
        <w:rPr>
          <w:lang w:eastAsia="zh-CN"/>
        </w:rPr>
        <w:t>各级负有安全生产监督管理职责的部门要进一步提高思想认识，始终把督促落实企业主体责任作为安全生产监督管理和责任落实的重中之重、治本之策来抓</w:t>
      </w:r>
      <w:r>
        <w:rPr>
          <w:rFonts w:hint="eastAsia"/>
          <w:lang w:eastAsia="zh-CN"/>
        </w:rPr>
        <w:t>。</w:t>
      </w:r>
      <w:r>
        <w:rPr>
          <w:lang w:eastAsia="zh-CN"/>
        </w:rPr>
        <w:t>要定期分析和预判企业主体责任落实情况，强化安全生产监管执法，协调解决重点难点突出问题，加强调查研究，及时总结推广行业、领域内落实企业主体责任的经验做法，实事求是、因地制宜地提出解决监管执法中存在的问题。</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（二）强化统筹推动。</w:t>
      </w:r>
      <w:r>
        <w:rPr>
          <w:rFonts w:hint="eastAsia"/>
          <w:lang w:val="en-US" w:eastAsia="zh-CN"/>
        </w:rPr>
        <w:t>镇</w:t>
      </w:r>
      <w:r>
        <w:rPr>
          <w:lang w:eastAsia="zh-CN"/>
        </w:rPr>
        <w:t>安委会办公室组织协调安全生产执法百日攻坚行动，建立定期调度通报制度，及时掌握工作进展情况。</w:t>
      </w:r>
      <w:r>
        <w:rPr>
          <w:rFonts w:hint="eastAsia"/>
          <w:lang w:eastAsia="zh-CN"/>
        </w:rPr>
        <w:t>各</w:t>
      </w:r>
      <w:r>
        <w:rPr>
          <w:lang w:eastAsia="zh-CN"/>
        </w:rPr>
        <w:t>部门实际制定具体实施方案，层层落实责任，细化分解任务，务求取得实效。要督促企业建立自查整改台账，存档备查；要加强辖区内安全专项整治工作的组织协调，分行业领域“全覆盖”无缝隙检查，查出的问题要记录在案，跟踪整改，闭环管理。</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（三）建立会商协同机制。</w:t>
      </w:r>
      <w:r>
        <w:rPr>
          <w:lang w:eastAsia="zh-CN"/>
        </w:rPr>
        <w:t>各级负有安全生产监督管理职责的部门、公安机关、检察机关和法院应当建立安全生产行政执法与刑事司法衔接长效工作机制。加强日常工作沟通与协作，协调解决重要问题，并以会议纪要等方式明确议定事项，联合通报辖区内有关涉嫌安全生产犯罪案件移送、立案、公诉、裁判结果等方面的信息。</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ascii="楷体" w:hAnsi="楷体" w:eastAsia="楷体" w:cs="楷体"/>
          <w:lang w:eastAsia="zh-CN"/>
        </w:rPr>
        <w:t>（四）强化社会监督。</w:t>
      </w:r>
      <w:r>
        <w:rPr>
          <w:lang w:eastAsia="zh-CN"/>
        </w:rPr>
        <w:t>健全安全生产有奖举报制度，鼓励社会各界、人大政协、群众团体、新闻媒体对重大安全风险隐患实施监督、提供线索，对举报线索要跟踪进行执法检查，及时提出执法意见，限期办理安全生产违法违规问题的举报投诉。</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lang w:eastAsia="zh-CN"/>
        </w:rPr>
        <w:t>请</w:t>
      </w:r>
      <w:r>
        <w:rPr>
          <w:rFonts w:hint="eastAsia"/>
          <w:lang w:eastAsia="zh-CN"/>
        </w:rPr>
        <w:t>大排查大整治</w:t>
      </w:r>
      <w:r>
        <w:rPr>
          <w:lang w:eastAsia="zh-CN"/>
        </w:rPr>
        <w:t>非煤矿山、危化品、</w:t>
      </w:r>
      <w:r>
        <w:rPr>
          <w:rFonts w:hint="eastAsia"/>
          <w:lang w:eastAsia="zh-CN"/>
        </w:rPr>
        <w:t>涉氨制冷等工贸、</w:t>
      </w:r>
      <w:r>
        <w:rPr>
          <w:lang w:eastAsia="zh-CN"/>
        </w:rPr>
        <w:t>建筑施工、交通运输、消防等</w:t>
      </w:r>
      <w:r>
        <w:rPr>
          <w:rFonts w:hint="eastAsia"/>
          <w:lang w:val="en-US" w:eastAsia="zh-CN"/>
        </w:rPr>
        <w:t>6</w:t>
      </w:r>
      <w:r>
        <w:rPr>
          <w:lang w:eastAsia="zh-CN"/>
        </w:rPr>
        <w:t>大重点行业领域各</w:t>
      </w:r>
      <w:r>
        <w:rPr>
          <w:rFonts w:hint="eastAsia"/>
          <w:lang w:eastAsia="zh-CN"/>
        </w:rPr>
        <w:t>牵头</w:t>
      </w:r>
      <w:r>
        <w:rPr>
          <w:lang w:eastAsia="zh-CN"/>
        </w:rPr>
        <w:t>部门及时汇总安全生产执法百日攻坚行动进展情况，形成工作报告（包括总体情况、主要做法、存在问题和下一步工作建议等</w:t>
      </w:r>
      <w:r>
        <w:rPr>
          <w:rFonts w:hint="eastAsia"/>
          <w:lang w:eastAsia="zh-CN"/>
        </w:rPr>
        <w:t>；安全生产专项整治三年行动各牵头单位，要将树立标杆、召开现场会、“开小灶”等情况，一并写入工作报告</w:t>
      </w:r>
      <w:r>
        <w:rPr>
          <w:lang w:eastAsia="zh-CN"/>
        </w:rPr>
        <w:t>）</w:t>
      </w:r>
      <w:r>
        <w:rPr>
          <w:rFonts w:hint="eastAsia"/>
          <w:lang w:eastAsia="zh-CN"/>
        </w:rPr>
        <w:t>，</w:t>
      </w:r>
      <w:r>
        <w:rPr>
          <w:lang w:eastAsia="zh-CN"/>
        </w:rPr>
        <w:t>于每月</w:t>
      </w:r>
      <w:r>
        <w:rPr>
          <w:rFonts w:hint="eastAsia"/>
          <w:lang w:eastAsia="zh-CN"/>
        </w:rPr>
        <w:t>2</w:t>
      </w:r>
      <w:r>
        <w:rPr>
          <w:rFonts w:hint="eastAsia"/>
          <w:lang w:val="en-US" w:eastAsia="zh-CN"/>
        </w:rPr>
        <w:t>1</w:t>
      </w:r>
      <w:r>
        <w:rPr>
          <w:lang w:eastAsia="zh-CN"/>
        </w:rPr>
        <w:t>日前报</w:t>
      </w:r>
      <w:r>
        <w:rPr>
          <w:rFonts w:hint="eastAsia"/>
          <w:lang w:val="en-US" w:eastAsia="zh-CN"/>
        </w:rPr>
        <w:t>镇</w:t>
      </w:r>
      <w:r>
        <w:rPr>
          <w:lang w:eastAsia="zh-CN"/>
        </w:rPr>
        <w:t>安全生产大排查大整治工作专班（共4次</w:t>
      </w:r>
      <w:r>
        <w:rPr>
          <w:rFonts w:hint="eastAsia"/>
          <w:lang w:eastAsia="zh-CN"/>
        </w:rPr>
        <w:t>，3月2</w:t>
      </w:r>
      <w:r>
        <w:rPr>
          <w:rFonts w:hint="eastAsia"/>
          <w:lang w:val="en-US" w:eastAsia="zh-CN"/>
        </w:rPr>
        <w:t>1</w:t>
      </w:r>
      <w:r>
        <w:rPr>
          <w:rFonts w:hint="eastAsia"/>
          <w:lang w:eastAsia="zh-CN"/>
        </w:rPr>
        <w:t>前一并报送安全生产执法百日攻坚行动实施方案</w:t>
      </w:r>
      <w:r>
        <w:rPr>
          <w:lang w:eastAsia="zh-CN"/>
        </w:rPr>
        <w:t>）。</w:t>
      </w:r>
      <w:r>
        <w:rPr>
          <w:rFonts w:hint="eastAsia"/>
          <w:lang w:eastAsia="zh-CN"/>
        </w:rPr>
        <w:t>同时，</w:t>
      </w:r>
      <w:r>
        <w:rPr>
          <w:lang w:eastAsia="zh-CN"/>
        </w:rPr>
        <w:t>请</w:t>
      </w:r>
      <w:r>
        <w:rPr>
          <w:rFonts w:hint="eastAsia"/>
          <w:lang w:val="en-US" w:eastAsia="zh-CN"/>
        </w:rPr>
        <w:t>各村、</w:t>
      </w:r>
      <w:r>
        <w:rPr>
          <w:rFonts w:hint="eastAsia"/>
          <w:lang w:eastAsia="zh-CN"/>
        </w:rPr>
        <w:t>大排查大整治</w:t>
      </w:r>
      <w:r>
        <w:rPr>
          <w:lang w:eastAsia="zh-CN"/>
        </w:rPr>
        <w:t>各</w:t>
      </w:r>
      <w:r>
        <w:rPr>
          <w:rFonts w:hint="eastAsia"/>
          <w:lang w:eastAsia="zh-CN"/>
        </w:rPr>
        <w:t>牵头</w:t>
      </w:r>
      <w:r>
        <w:rPr>
          <w:lang w:eastAsia="zh-CN"/>
        </w:rPr>
        <w:t>部门</w:t>
      </w:r>
      <w:r>
        <w:rPr>
          <w:rFonts w:hint="eastAsia"/>
          <w:lang w:eastAsia="zh-CN"/>
        </w:rPr>
        <w:t>做好迎接市、</w:t>
      </w:r>
      <w:r>
        <w:rPr>
          <w:rFonts w:hint="eastAsia"/>
          <w:lang w:val="en-US" w:eastAsia="zh-CN"/>
        </w:rPr>
        <w:t>区两</w:t>
      </w:r>
      <w:r>
        <w:rPr>
          <w:rFonts w:hint="eastAsia"/>
          <w:lang w:eastAsia="zh-CN"/>
        </w:rPr>
        <w:t>级部门组织的异地互查准备工作。</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rFonts w:hint="eastAsia"/>
          <w:lang w:eastAsia="zh-CN"/>
        </w:rPr>
        <w:t>（</w:t>
      </w:r>
      <w:r>
        <w:rPr>
          <w:rFonts w:hint="eastAsia"/>
          <w:lang w:val="en-US" w:eastAsia="zh-CN"/>
        </w:rPr>
        <w:t>镇</w:t>
      </w:r>
      <w:r>
        <w:rPr>
          <w:rFonts w:hint="eastAsia"/>
          <w:lang w:eastAsia="zh-CN"/>
        </w:rPr>
        <w:t>应急</w:t>
      </w:r>
      <w:r>
        <w:rPr>
          <w:rFonts w:hint="eastAsia"/>
          <w:lang w:val="en-US" w:eastAsia="zh-CN"/>
        </w:rPr>
        <w:t>办</w:t>
      </w:r>
      <w:r>
        <w:rPr>
          <w:rFonts w:hint="eastAsia"/>
          <w:lang w:eastAsia="zh-CN"/>
        </w:rPr>
        <w:t>联系人：</w:t>
      </w:r>
      <w:r>
        <w:rPr>
          <w:rFonts w:hint="eastAsia"/>
          <w:lang w:val="en-US" w:eastAsia="zh-CN"/>
        </w:rPr>
        <w:t>杨学薪；</w:t>
      </w:r>
      <w:r>
        <w:rPr>
          <w:lang w:eastAsia="zh-CN"/>
        </w:rPr>
        <w:t>电子信箱：</w:t>
      </w:r>
      <w:r>
        <w:fldChar w:fldCharType="begin"/>
      </w:r>
      <w:r>
        <w:instrText xml:space="preserve"> HYPERLINK "mailto:eddy10876@163.com" </w:instrText>
      </w:r>
      <w:r>
        <w:fldChar w:fldCharType="separate"/>
      </w:r>
      <w:r>
        <w:rPr>
          <w:rFonts w:hint="eastAsia"/>
          <w:lang w:val="en-US" w:eastAsia="zh-CN"/>
        </w:rPr>
        <w:t>shantingsunlei</w:t>
      </w:r>
      <w:r>
        <w:rPr>
          <w:lang w:eastAsia="zh-CN"/>
        </w:rPr>
        <w:t>@1</w:t>
      </w:r>
      <w:r>
        <w:rPr>
          <w:rFonts w:hint="eastAsia"/>
          <w:lang w:val="en-US" w:eastAsia="zh-CN"/>
        </w:rPr>
        <w:t>63</w:t>
      </w:r>
      <w:r>
        <w:rPr>
          <w:lang w:eastAsia="zh-CN"/>
        </w:rPr>
        <w:t>.com</w:t>
      </w:r>
      <w:r>
        <w:rPr>
          <w:lang w:eastAsia="zh-CN"/>
        </w:rPr>
        <w:fldChar w:fldCharType="end"/>
      </w:r>
      <w:r>
        <w:rPr>
          <w:rFonts w:hint="eastAsia"/>
          <w:lang w:eastAsia="zh-CN"/>
        </w:rPr>
        <w:t>）</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40" w:firstLineChars="200"/>
        <w:jc w:val="both"/>
        <w:textAlignment w:val="auto"/>
        <w:rPr>
          <w:lang w:eastAsia="zh-CN"/>
        </w:rPr>
      </w:pPr>
      <w:r>
        <w:rPr>
          <w:lang w:eastAsia="zh-CN"/>
        </w:rPr>
        <w:t>附件：异地执法检查问题移交表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420" w:firstLineChars="200"/>
        <w:textAlignment w:val="auto"/>
      </w:pP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240" w:firstLineChars="1950"/>
        <w:jc w:val="both"/>
        <w:textAlignment w:val="auto"/>
        <w:rPr>
          <w:lang w:eastAsia="zh-CN"/>
        </w:rPr>
      </w:pPr>
      <w:r>
        <w:rPr>
          <w:rFonts w:hint="eastAsia"/>
          <w:lang w:val="en-US" w:eastAsia="zh-CN"/>
        </w:rPr>
        <w:t>北庄镇人民政府</w:t>
      </w:r>
    </w:p>
    <w:p>
      <w:pPr>
        <w:pStyle w:val="3"/>
        <w:keepNext w:val="0"/>
        <w:keepLines w:val="0"/>
        <w:pageBreakBefore w:val="0"/>
        <w:widowControl w:val="0"/>
        <w:kinsoku/>
        <w:wordWrap/>
        <w:overflowPunct w:val="0"/>
        <w:topLinePunct w:val="0"/>
        <w:autoSpaceDE/>
        <w:autoSpaceDN/>
        <w:bidi w:val="0"/>
        <w:adjustRightInd w:val="0"/>
        <w:snapToGrid w:val="0"/>
        <w:spacing w:line="540" w:lineRule="exact"/>
        <w:ind w:left="0" w:firstLine="6240" w:firstLineChars="1950"/>
        <w:jc w:val="both"/>
        <w:textAlignment w:val="auto"/>
        <w:rPr>
          <w:lang w:eastAsia="zh-CN"/>
        </w:rPr>
        <w:sectPr>
          <w:footerReference r:id="rId5" w:type="default"/>
          <w:pgSz w:w="11906" w:h="16838"/>
          <w:pgMar w:top="1985" w:right="1588" w:bottom="1985" w:left="1588" w:header="851" w:footer="992" w:gutter="0"/>
          <w:cols w:space="425" w:num="1"/>
          <w:docGrid w:type="lines" w:linePitch="312" w:charSpace="0"/>
        </w:sectPr>
      </w:pPr>
      <w:r>
        <w:rPr>
          <w:lang w:eastAsia="zh-CN"/>
        </w:rPr>
        <w:t>2021年3月</w:t>
      </w:r>
      <w:r>
        <w:rPr>
          <w:rFonts w:hint="eastAsia"/>
          <w:lang w:val="en-US" w:eastAsia="zh-CN"/>
        </w:rPr>
        <w:t>19</w:t>
      </w:r>
      <w:r>
        <w:rPr>
          <w:lang w:eastAsia="zh-CN"/>
        </w:rPr>
        <w:t>日</w:t>
      </w:r>
    </w:p>
    <w:p>
      <w:pPr>
        <w:pStyle w:val="3"/>
        <w:overflowPunct w:val="0"/>
        <w:adjustRightInd w:val="0"/>
        <w:snapToGrid w:val="0"/>
        <w:spacing w:line="540" w:lineRule="exact"/>
        <w:jc w:val="both"/>
        <w:rPr>
          <w:rFonts w:ascii="黑体" w:hAnsi="黑体" w:eastAsia="黑体"/>
          <w:lang w:eastAsia="zh-CN"/>
        </w:rPr>
      </w:pPr>
      <w:r>
        <w:rPr>
          <w:rFonts w:ascii="黑体" w:hAnsi="黑体" w:eastAsia="黑体"/>
          <w:lang w:eastAsia="zh-CN"/>
        </w:rPr>
        <w:t>附件</w:t>
      </w:r>
    </w:p>
    <w:p>
      <w:pPr>
        <w:pStyle w:val="3"/>
        <w:overflowPunct w:val="0"/>
        <w:adjustRightInd w:val="0"/>
        <w:snapToGrid w:val="0"/>
        <w:spacing w:line="54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异地执法检查问题移交表</w:t>
      </w:r>
    </w:p>
    <w:p>
      <w:pPr>
        <w:tabs>
          <w:tab w:val="left" w:pos="7815"/>
        </w:tabs>
        <w:spacing w:before="34"/>
        <w:ind w:left="224"/>
        <w:rPr>
          <w:rFonts w:ascii="宋体" w:hAnsi="宋体" w:cs="宋体"/>
          <w:w w:val="95"/>
          <w:sz w:val="24"/>
        </w:rPr>
      </w:pPr>
    </w:p>
    <w:p>
      <w:pPr>
        <w:tabs>
          <w:tab w:val="left" w:pos="7815"/>
        </w:tabs>
        <w:spacing w:before="34"/>
        <w:ind w:left="224"/>
        <w:rPr>
          <w:rFonts w:ascii="仿宋_GB2312" w:hAnsi="宋体" w:eastAsia="仿宋_GB2312" w:cs="宋体"/>
          <w:sz w:val="30"/>
          <w:szCs w:val="30"/>
        </w:rPr>
      </w:pPr>
      <w:r>
        <w:rPr>
          <w:rFonts w:hint="eastAsia" w:ascii="仿宋_GB2312" w:hAnsi="宋体" w:eastAsia="仿宋_GB2312" w:cs="宋体"/>
          <w:w w:val="95"/>
          <w:sz w:val="30"/>
          <w:szCs w:val="30"/>
        </w:rPr>
        <w:t xml:space="preserve">企业名称：                                           </w:t>
      </w:r>
      <w:r>
        <w:rPr>
          <w:rFonts w:hint="eastAsia" w:ascii="仿宋_GB2312" w:hAnsi="宋体" w:eastAsia="仿宋_GB2312" w:cs="宋体"/>
          <w:sz w:val="30"/>
          <w:szCs w:val="30"/>
        </w:rPr>
        <w:t>所在</w:t>
      </w:r>
      <w:r>
        <w:rPr>
          <w:rFonts w:hint="eastAsia" w:ascii="仿宋_GB2312" w:hAnsi="宋体" w:eastAsia="仿宋_GB2312" w:cs="宋体"/>
          <w:sz w:val="30"/>
          <w:szCs w:val="30"/>
          <w:lang w:eastAsia="zh-CN"/>
        </w:rPr>
        <w:t>镇街</w:t>
      </w:r>
      <w:r>
        <w:rPr>
          <w:rFonts w:hint="eastAsia" w:ascii="仿宋_GB2312" w:hAnsi="宋体" w:eastAsia="仿宋_GB2312" w:cs="宋体"/>
          <w:sz w:val="30"/>
          <w:szCs w:val="30"/>
        </w:rPr>
        <w:t>：</w:t>
      </w:r>
    </w:p>
    <w:p>
      <w:pPr>
        <w:tabs>
          <w:tab w:val="left" w:pos="7815"/>
          <w:tab w:val="left" w:pos="9863"/>
          <w:tab w:val="left" w:pos="10388"/>
        </w:tabs>
        <w:ind w:left="224"/>
        <w:rPr>
          <w:rFonts w:ascii="仿宋_GB2312" w:hAnsi="宋体" w:eastAsia="仿宋_GB2312" w:cs="宋体"/>
          <w:sz w:val="30"/>
          <w:szCs w:val="30"/>
        </w:rPr>
      </w:pPr>
      <w:r>
        <w:rPr>
          <w:rFonts w:hint="eastAsia" w:ascii="仿宋_GB2312" w:hAnsi="宋体" w:eastAsia="仿宋_GB2312" w:cs="宋体"/>
          <w:w w:val="95"/>
          <w:sz w:val="30"/>
          <w:szCs w:val="30"/>
        </w:rPr>
        <w:t xml:space="preserve">企业地址：                                                             </w:t>
      </w:r>
      <w:r>
        <w:rPr>
          <w:rFonts w:hint="eastAsia" w:ascii="仿宋_GB2312" w:hAnsi="宋体" w:eastAsia="仿宋_GB2312" w:cs="宋体"/>
          <w:sz w:val="30"/>
          <w:szCs w:val="30"/>
        </w:rPr>
        <w:t xml:space="preserve">检查时间：2021年  </w:t>
      </w:r>
      <w:r>
        <w:rPr>
          <w:rFonts w:hint="eastAsia" w:ascii="仿宋_GB2312" w:hAnsi="宋体" w:eastAsia="仿宋_GB2312" w:cs="宋体"/>
          <w:w w:val="95"/>
          <w:sz w:val="30"/>
          <w:szCs w:val="30"/>
        </w:rPr>
        <w:t xml:space="preserve">月  </w:t>
      </w:r>
      <w:r>
        <w:rPr>
          <w:rFonts w:hint="eastAsia" w:ascii="仿宋_GB2312" w:hAnsi="宋体" w:eastAsia="仿宋_GB2312" w:cs="宋体"/>
          <w:sz w:val="30"/>
          <w:szCs w:val="30"/>
        </w:rPr>
        <w:t>日</w:t>
      </w:r>
    </w:p>
    <w:tbl>
      <w:tblPr>
        <w:tblStyle w:val="8"/>
        <w:tblW w:w="13644" w:type="dxa"/>
        <w:tblInd w:w="111" w:type="dxa"/>
        <w:tblLayout w:type="fixed"/>
        <w:tblCellMar>
          <w:top w:w="0" w:type="dxa"/>
          <w:left w:w="0" w:type="dxa"/>
          <w:bottom w:w="0" w:type="dxa"/>
          <w:right w:w="0" w:type="dxa"/>
        </w:tblCellMar>
      </w:tblPr>
      <w:tblGrid>
        <w:gridCol w:w="603"/>
        <w:gridCol w:w="1134"/>
        <w:gridCol w:w="1474"/>
        <w:gridCol w:w="1303"/>
        <w:gridCol w:w="1304"/>
        <w:gridCol w:w="898"/>
        <w:gridCol w:w="877"/>
        <w:gridCol w:w="806"/>
        <w:gridCol w:w="709"/>
        <w:gridCol w:w="709"/>
        <w:gridCol w:w="709"/>
        <w:gridCol w:w="708"/>
        <w:gridCol w:w="709"/>
        <w:gridCol w:w="709"/>
        <w:gridCol w:w="992"/>
      </w:tblGrid>
      <w:tr>
        <w:tblPrEx>
          <w:tblCellMar>
            <w:top w:w="0" w:type="dxa"/>
            <w:left w:w="0" w:type="dxa"/>
            <w:bottom w:w="0" w:type="dxa"/>
            <w:right w:w="0" w:type="dxa"/>
          </w:tblCellMar>
        </w:tblPrEx>
        <w:trPr>
          <w:trHeight w:val="409" w:hRule="exact"/>
        </w:trPr>
        <w:tc>
          <w:tcPr>
            <w:tcW w:w="603" w:type="dxa"/>
            <w:vMerge w:val="restart"/>
            <w:tcBorders>
              <w:top w:val="single" w:color="000000" w:sz="4" w:space="0"/>
              <w:left w:val="single" w:color="000000" w:sz="4" w:space="0"/>
              <w:right w:val="single" w:color="000000" w:sz="4" w:space="0"/>
            </w:tcBorders>
            <w:vAlign w:val="center"/>
          </w:tcPr>
          <w:p>
            <w:pPr>
              <w:pStyle w:val="7"/>
              <w:spacing w:line="261" w:lineRule="auto"/>
              <w:ind w:left="104" w:right="34"/>
              <w:jc w:val="center"/>
              <w:rPr>
                <w:rFonts w:ascii="黑体" w:hAnsi="黑体" w:eastAsia="黑体" w:cs="黑体"/>
                <w:sz w:val="21"/>
                <w:szCs w:val="21"/>
              </w:rPr>
            </w:pPr>
            <w:r>
              <w:rPr>
                <w:rFonts w:ascii="黑体" w:hAnsi="黑体" w:eastAsia="黑体" w:cs="黑体"/>
                <w:sz w:val="21"/>
                <w:szCs w:val="21"/>
              </w:rPr>
              <w:t>序号</w:t>
            </w:r>
          </w:p>
        </w:tc>
        <w:tc>
          <w:tcPr>
            <w:tcW w:w="1134" w:type="dxa"/>
            <w:vMerge w:val="restart"/>
            <w:tcBorders>
              <w:top w:val="single" w:color="000000" w:sz="4" w:space="0"/>
              <w:left w:val="single" w:color="000000" w:sz="4" w:space="0"/>
              <w:right w:val="single" w:color="000000" w:sz="4" w:space="0"/>
            </w:tcBorders>
            <w:vAlign w:val="center"/>
          </w:tcPr>
          <w:p>
            <w:pPr>
              <w:pStyle w:val="7"/>
              <w:spacing w:line="261" w:lineRule="auto"/>
              <w:ind w:left="117" w:right="116"/>
              <w:jc w:val="center"/>
              <w:rPr>
                <w:rFonts w:ascii="黑体" w:hAnsi="黑体" w:eastAsia="黑体" w:cs="黑体"/>
                <w:sz w:val="21"/>
                <w:szCs w:val="21"/>
              </w:rPr>
            </w:pPr>
            <w:r>
              <w:rPr>
                <w:rFonts w:ascii="黑体" w:hAnsi="黑体" w:eastAsia="黑体" w:cs="黑体"/>
                <w:sz w:val="21"/>
                <w:szCs w:val="21"/>
              </w:rPr>
              <w:t>所属检查</w:t>
            </w:r>
          </w:p>
          <w:p>
            <w:pPr>
              <w:pStyle w:val="7"/>
              <w:spacing w:line="261" w:lineRule="auto"/>
              <w:ind w:left="117" w:right="116"/>
              <w:jc w:val="center"/>
              <w:rPr>
                <w:rFonts w:ascii="黑体" w:hAnsi="黑体" w:eastAsia="黑体" w:cs="黑体"/>
                <w:sz w:val="21"/>
                <w:szCs w:val="21"/>
              </w:rPr>
            </w:pPr>
            <w:r>
              <w:rPr>
                <w:rFonts w:ascii="黑体" w:hAnsi="黑体" w:eastAsia="黑体" w:cs="黑体"/>
                <w:sz w:val="21"/>
                <w:szCs w:val="21"/>
              </w:rPr>
              <w:t>项目</w:t>
            </w:r>
          </w:p>
        </w:tc>
        <w:tc>
          <w:tcPr>
            <w:tcW w:w="1474" w:type="dxa"/>
            <w:vMerge w:val="restart"/>
            <w:tcBorders>
              <w:top w:val="single" w:color="000000" w:sz="4" w:space="0"/>
              <w:left w:val="single" w:color="000000" w:sz="4" w:space="0"/>
              <w:right w:val="single" w:color="000000" w:sz="4" w:space="0"/>
            </w:tcBorders>
            <w:vAlign w:val="center"/>
          </w:tcPr>
          <w:p>
            <w:pPr>
              <w:pStyle w:val="7"/>
              <w:spacing w:before="154"/>
              <w:jc w:val="center"/>
              <w:rPr>
                <w:rFonts w:ascii="黑体" w:hAnsi="黑体" w:eastAsia="黑体" w:cs="黑体"/>
                <w:sz w:val="21"/>
                <w:szCs w:val="21"/>
              </w:rPr>
            </w:pPr>
            <w:r>
              <w:rPr>
                <w:rFonts w:ascii="黑体" w:hAnsi="黑体" w:eastAsia="黑体" w:cs="黑体"/>
                <w:sz w:val="21"/>
                <w:szCs w:val="21"/>
              </w:rPr>
              <w:t>问题描述</w:t>
            </w:r>
          </w:p>
        </w:tc>
        <w:tc>
          <w:tcPr>
            <w:tcW w:w="1303" w:type="dxa"/>
            <w:vMerge w:val="restart"/>
            <w:tcBorders>
              <w:top w:val="single" w:color="000000" w:sz="4" w:space="0"/>
              <w:left w:val="single" w:color="000000" w:sz="4" w:space="0"/>
              <w:right w:val="single" w:color="000000" w:sz="4" w:space="0"/>
            </w:tcBorders>
            <w:vAlign w:val="center"/>
          </w:tcPr>
          <w:p>
            <w:pPr>
              <w:pStyle w:val="7"/>
              <w:spacing w:before="154"/>
              <w:ind w:left="226"/>
              <w:jc w:val="center"/>
              <w:rPr>
                <w:rFonts w:ascii="黑体" w:hAnsi="黑体" w:eastAsia="黑体" w:cs="黑体"/>
                <w:sz w:val="21"/>
                <w:szCs w:val="21"/>
              </w:rPr>
            </w:pPr>
            <w:r>
              <w:rPr>
                <w:rFonts w:ascii="黑体" w:hAnsi="黑体" w:eastAsia="黑体" w:cs="黑体"/>
                <w:sz w:val="21"/>
                <w:szCs w:val="21"/>
              </w:rPr>
              <w:t>法律依据</w:t>
            </w:r>
          </w:p>
        </w:tc>
        <w:tc>
          <w:tcPr>
            <w:tcW w:w="1304" w:type="dxa"/>
            <w:vMerge w:val="restart"/>
            <w:tcBorders>
              <w:top w:val="single" w:color="000000" w:sz="4" w:space="0"/>
              <w:left w:val="single" w:color="000000" w:sz="4" w:space="0"/>
              <w:right w:val="single" w:color="000000" w:sz="4" w:space="0"/>
            </w:tcBorders>
            <w:vAlign w:val="center"/>
          </w:tcPr>
          <w:p>
            <w:pPr>
              <w:pStyle w:val="7"/>
              <w:spacing w:before="154"/>
              <w:ind w:left="226"/>
              <w:jc w:val="center"/>
              <w:rPr>
                <w:rFonts w:ascii="黑体" w:hAnsi="黑体" w:eastAsia="黑体" w:cs="黑体"/>
                <w:sz w:val="21"/>
                <w:szCs w:val="21"/>
              </w:rPr>
            </w:pPr>
            <w:r>
              <w:rPr>
                <w:rFonts w:ascii="黑体" w:hAnsi="黑体" w:eastAsia="黑体" w:cs="黑体"/>
                <w:sz w:val="21"/>
                <w:szCs w:val="21"/>
              </w:rPr>
              <w:t>标准依据</w:t>
            </w:r>
          </w:p>
        </w:tc>
        <w:tc>
          <w:tcPr>
            <w:tcW w:w="898" w:type="dxa"/>
            <w:vMerge w:val="restart"/>
            <w:tcBorders>
              <w:top w:val="single" w:color="000000" w:sz="4" w:space="0"/>
              <w:left w:val="single" w:color="000000" w:sz="4" w:space="0"/>
              <w:right w:val="single" w:color="000000" w:sz="4" w:space="0"/>
            </w:tcBorders>
            <w:vAlign w:val="center"/>
          </w:tcPr>
          <w:p>
            <w:pPr>
              <w:pStyle w:val="7"/>
              <w:spacing w:line="261" w:lineRule="auto"/>
              <w:ind w:left="130" w:right="127"/>
              <w:jc w:val="center"/>
              <w:rPr>
                <w:rFonts w:ascii="黑体" w:hAnsi="黑体" w:eastAsia="黑体" w:cs="黑体"/>
                <w:sz w:val="21"/>
                <w:szCs w:val="21"/>
              </w:rPr>
            </w:pPr>
            <w:r>
              <w:rPr>
                <w:rFonts w:ascii="黑体" w:hAnsi="黑体" w:eastAsia="黑体" w:cs="黑体"/>
                <w:sz w:val="21"/>
                <w:szCs w:val="21"/>
              </w:rPr>
              <w:t>问题提出人员</w:t>
            </w:r>
          </w:p>
        </w:tc>
        <w:tc>
          <w:tcPr>
            <w:tcW w:w="877" w:type="dxa"/>
            <w:vMerge w:val="restart"/>
            <w:tcBorders>
              <w:top w:val="single" w:color="000000" w:sz="4" w:space="0"/>
              <w:left w:val="single" w:color="000000" w:sz="4" w:space="0"/>
              <w:right w:val="single" w:color="000000" w:sz="4" w:space="0"/>
            </w:tcBorders>
            <w:vAlign w:val="center"/>
          </w:tcPr>
          <w:p>
            <w:pPr>
              <w:pStyle w:val="7"/>
              <w:spacing w:line="261" w:lineRule="auto"/>
              <w:ind w:left="117" w:right="118"/>
              <w:jc w:val="center"/>
              <w:rPr>
                <w:rFonts w:ascii="黑体" w:hAnsi="黑体" w:eastAsia="黑体" w:cs="黑体"/>
                <w:sz w:val="21"/>
                <w:szCs w:val="21"/>
              </w:rPr>
            </w:pPr>
            <w:r>
              <w:rPr>
                <w:rFonts w:ascii="黑体" w:hAnsi="黑体" w:eastAsia="黑体" w:cs="黑体"/>
                <w:sz w:val="21"/>
                <w:szCs w:val="21"/>
              </w:rPr>
              <w:t>执法责任单位</w:t>
            </w:r>
          </w:p>
        </w:tc>
        <w:tc>
          <w:tcPr>
            <w:tcW w:w="6051" w:type="dxa"/>
            <w:gridSpan w:val="8"/>
            <w:tcBorders>
              <w:top w:val="single" w:color="000000" w:sz="4" w:space="0"/>
              <w:left w:val="single" w:color="000000" w:sz="4" w:space="0"/>
              <w:bottom w:val="single" w:color="000000" w:sz="4" w:space="0"/>
              <w:right w:val="single" w:color="000000" w:sz="4" w:space="0"/>
            </w:tcBorders>
            <w:vAlign w:val="center"/>
          </w:tcPr>
          <w:p>
            <w:pPr>
              <w:pStyle w:val="7"/>
              <w:spacing w:before="128"/>
              <w:ind w:right="1"/>
              <w:jc w:val="center"/>
              <w:rPr>
                <w:rFonts w:ascii="黑体" w:hAnsi="黑体" w:eastAsia="黑体" w:cs="黑体"/>
                <w:sz w:val="21"/>
                <w:szCs w:val="21"/>
              </w:rPr>
            </w:pPr>
            <w:r>
              <w:rPr>
                <w:rFonts w:ascii="黑体" w:hAnsi="黑体" w:eastAsia="黑体" w:cs="黑体"/>
                <w:sz w:val="21"/>
                <w:szCs w:val="21"/>
              </w:rPr>
              <w:t>执法处置意见</w:t>
            </w:r>
          </w:p>
        </w:tc>
      </w:tr>
      <w:tr>
        <w:tblPrEx>
          <w:tblCellMar>
            <w:top w:w="0" w:type="dxa"/>
            <w:left w:w="0" w:type="dxa"/>
            <w:bottom w:w="0" w:type="dxa"/>
            <w:right w:w="0" w:type="dxa"/>
          </w:tblCellMar>
        </w:tblPrEx>
        <w:trPr>
          <w:trHeight w:val="1124" w:hRule="exact"/>
        </w:trPr>
        <w:tc>
          <w:tcPr>
            <w:tcW w:w="603"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1134"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1474"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1303"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1304"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898"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877" w:type="dxa"/>
            <w:vMerge w:val="continue"/>
            <w:tcBorders>
              <w:left w:val="single" w:color="000000" w:sz="4" w:space="0"/>
              <w:bottom w:val="single" w:color="000000" w:sz="4" w:space="0"/>
              <w:right w:val="single" w:color="000000" w:sz="4" w:space="0"/>
            </w:tcBorders>
            <w:vAlign w:val="center"/>
          </w:tcPr>
          <w:p>
            <w:pPr>
              <w:jc w:val="center"/>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7" w:right="106"/>
              <w:jc w:val="center"/>
              <w:rPr>
                <w:rFonts w:ascii="黑体" w:hAnsi="黑体" w:eastAsia="黑体" w:cs="黑体"/>
                <w:sz w:val="21"/>
                <w:szCs w:val="21"/>
              </w:rPr>
            </w:pPr>
            <w:r>
              <w:rPr>
                <w:rFonts w:ascii="黑体" w:hAnsi="黑体" w:eastAsia="黑体" w:cs="黑体"/>
                <w:sz w:val="21"/>
                <w:szCs w:val="21"/>
              </w:rPr>
              <w:t>现场立即整改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7" w:right="107"/>
              <w:jc w:val="center"/>
              <w:rPr>
                <w:rFonts w:ascii="黑体" w:hAnsi="黑体" w:eastAsia="黑体" w:cs="黑体"/>
                <w:sz w:val="21"/>
                <w:szCs w:val="21"/>
              </w:rPr>
            </w:pPr>
            <w:r>
              <w:rPr>
                <w:rFonts w:ascii="黑体" w:hAnsi="黑体" w:eastAsia="黑体" w:cs="黑体"/>
                <w:sz w:val="21"/>
                <w:szCs w:val="21"/>
              </w:rPr>
              <w:t>责令限期整改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6" w:right="107"/>
              <w:jc w:val="center"/>
              <w:rPr>
                <w:rFonts w:ascii="黑体" w:hAnsi="黑体" w:eastAsia="黑体" w:cs="黑体"/>
                <w:sz w:val="21"/>
                <w:szCs w:val="21"/>
              </w:rPr>
            </w:pPr>
            <w:r>
              <w:rPr>
                <w:rFonts w:ascii="黑体" w:hAnsi="黑体" w:eastAsia="黑体" w:cs="黑体"/>
                <w:sz w:val="21"/>
                <w:szCs w:val="21"/>
              </w:rPr>
              <w:t>现场紧急处置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6" w:right="107"/>
              <w:jc w:val="center"/>
              <w:rPr>
                <w:rFonts w:ascii="黑体" w:hAnsi="黑体" w:eastAsia="黑体" w:cs="黑体"/>
                <w:sz w:val="21"/>
                <w:szCs w:val="21"/>
              </w:rPr>
            </w:pPr>
            <w:r>
              <w:rPr>
                <w:rFonts w:ascii="黑体" w:hAnsi="黑体" w:eastAsia="黑体" w:cs="黑体"/>
                <w:sz w:val="21"/>
                <w:szCs w:val="21"/>
              </w:rPr>
              <w:t>暂时停产停业</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6" w:right="106"/>
              <w:jc w:val="center"/>
              <w:rPr>
                <w:rFonts w:ascii="黑体" w:hAnsi="黑体" w:eastAsia="黑体" w:cs="黑体"/>
                <w:sz w:val="21"/>
                <w:szCs w:val="21"/>
              </w:rPr>
            </w:pPr>
            <w:r>
              <w:rPr>
                <w:rFonts w:ascii="黑体" w:hAnsi="黑体" w:eastAsia="黑体" w:cs="黑体"/>
                <w:sz w:val="21"/>
                <w:szCs w:val="21"/>
              </w:rPr>
              <w:t>移交其他部门</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7" w:right="107"/>
              <w:jc w:val="center"/>
              <w:rPr>
                <w:rFonts w:ascii="黑体" w:hAnsi="黑体" w:eastAsia="黑体" w:cs="黑体"/>
                <w:sz w:val="21"/>
                <w:szCs w:val="21"/>
              </w:rPr>
            </w:pPr>
            <w:r>
              <w:rPr>
                <w:rFonts w:ascii="黑体" w:hAnsi="黑体" w:eastAsia="黑体" w:cs="黑体"/>
                <w:sz w:val="21"/>
                <w:szCs w:val="21"/>
              </w:rPr>
              <w:t>简易处罚</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6" w:right="107"/>
              <w:jc w:val="center"/>
              <w:rPr>
                <w:rFonts w:ascii="黑体" w:hAnsi="黑体" w:eastAsia="黑体" w:cs="黑体"/>
                <w:sz w:val="21"/>
                <w:szCs w:val="21"/>
              </w:rPr>
            </w:pPr>
            <w:r>
              <w:rPr>
                <w:rFonts w:ascii="黑体" w:hAnsi="黑体" w:eastAsia="黑体" w:cs="黑体"/>
                <w:sz w:val="21"/>
                <w:szCs w:val="21"/>
              </w:rPr>
              <w:t>立案处罚</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line="261" w:lineRule="auto"/>
              <w:ind w:left="106" w:right="108"/>
              <w:jc w:val="center"/>
              <w:rPr>
                <w:rFonts w:ascii="黑体" w:hAnsi="黑体" w:eastAsia="黑体" w:cs="黑体"/>
                <w:sz w:val="21"/>
                <w:szCs w:val="21"/>
              </w:rPr>
            </w:pPr>
            <w:r>
              <w:rPr>
                <w:rFonts w:ascii="黑体" w:hAnsi="黑体" w:eastAsia="黑体" w:cs="黑体"/>
                <w:sz w:val="21"/>
                <w:szCs w:val="21"/>
              </w:rPr>
              <w:t>其他处置措施</w:t>
            </w: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r>
      <w:tr>
        <w:tblPrEx>
          <w:tblCellMar>
            <w:top w:w="0" w:type="dxa"/>
            <w:left w:w="0" w:type="dxa"/>
            <w:bottom w:w="0" w:type="dxa"/>
            <w:right w:w="0" w:type="dxa"/>
          </w:tblCellMar>
        </w:tblPrEx>
        <w:trPr>
          <w:trHeight w:val="562" w:hRule="exact"/>
        </w:trPr>
        <w:tc>
          <w:tcPr>
            <w:tcW w:w="6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r>
      <w:tr>
        <w:tblPrEx>
          <w:tblCellMar>
            <w:top w:w="0" w:type="dxa"/>
            <w:left w:w="0" w:type="dxa"/>
            <w:bottom w:w="0" w:type="dxa"/>
            <w:right w:w="0" w:type="dxa"/>
          </w:tblCellMar>
        </w:tblPrEx>
        <w:trPr>
          <w:trHeight w:val="571" w:hRule="exact"/>
        </w:trPr>
        <w:tc>
          <w:tcPr>
            <w:tcW w:w="6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13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47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3"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1304"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9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77"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806"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8"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709"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c>
          <w:tcPr>
            <w:tcW w:w="992" w:type="dxa"/>
            <w:tcBorders>
              <w:top w:val="single" w:color="000000" w:sz="4" w:space="0"/>
              <w:left w:val="single" w:color="000000" w:sz="4" w:space="0"/>
              <w:bottom w:val="single" w:color="000000" w:sz="4" w:space="0"/>
              <w:right w:val="single" w:color="000000" w:sz="4" w:space="0"/>
            </w:tcBorders>
          </w:tcPr>
          <w:p>
            <w:pPr>
              <w:jc w:val="left"/>
              <w:rPr>
                <w:kern w:val="0"/>
                <w:sz w:val="22"/>
                <w:lang w:eastAsia="en-US"/>
              </w:rPr>
            </w:pPr>
          </w:p>
        </w:tc>
      </w:tr>
    </w:tbl>
    <w:p>
      <w:pPr>
        <w:spacing w:before="9"/>
        <w:rPr>
          <w:rFonts w:ascii="宋体" w:hAnsi="宋体" w:cs="宋体"/>
          <w:sz w:val="5"/>
          <w:szCs w:val="5"/>
        </w:rPr>
      </w:pPr>
    </w:p>
    <w:p>
      <w:pPr>
        <w:pStyle w:val="3"/>
        <w:adjustRightInd w:val="0"/>
        <w:snapToGrid w:val="0"/>
        <w:spacing w:line="500" w:lineRule="exact"/>
        <w:ind w:left="0"/>
        <w:sectPr>
          <w:pgSz w:w="16838" w:h="11906" w:orient="landscape"/>
          <w:pgMar w:top="1588" w:right="1588" w:bottom="1588" w:left="1588" w:header="851" w:footer="992" w:gutter="0"/>
          <w:cols w:space="425" w:num="1"/>
          <w:docGrid w:type="lines" w:linePitch="312" w:charSpace="0"/>
        </w:sectPr>
      </w:pPr>
      <w:r>
        <w:rPr>
          <w:rFonts w:hint="eastAsia" w:asciiTheme="minorHAnsi" w:hAnsiTheme="minorHAnsi"/>
          <w:lang w:eastAsia="zh-CN"/>
        </w:rPr>
        <w:t>区</w:t>
      </w:r>
      <w:r>
        <w:rPr>
          <w:lang w:eastAsia="zh-CN"/>
        </w:rPr>
        <w:t>执法组人员签字：</w:t>
      </w:r>
      <w:r>
        <w:rPr>
          <w:rFonts w:asciiTheme="minorHAnsi" w:hAnsiTheme="minorHAnsi"/>
          <w:lang w:eastAsia="zh-CN"/>
        </w:rPr>
        <w:t xml:space="preserve">                          </w:t>
      </w:r>
      <w:r>
        <w:rPr>
          <w:rFonts w:hint="eastAsia" w:asciiTheme="minorHAnsi" w:hAnsiTheme="minorHAnsi"/>
          <w:lang w:eastAsia="zh-CN"/>
        </w:rPr>
        <w:t>镇街</w:t>
      </w:r>
      <w:r>
        <w:rPr>
          <w:lang w:eastAsia="zh-CN"/>
        </w:rPr>
        <w:t>配合人员签字：</w:t>
      </w:r>
    </w:p>
    <w:p/>
    <w:p/>
    <w:sectPr>
      <w:footerReference r:id="rId6" w:type="default"/>
      <w:pgSz w:w="11906" w:h="16838"/>
      <w:pgMar w:top="1985" w:right="1588"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12186"/>
      <w:docPartObj>
        <w:docPartGallery w:val="autotext"/>
      </w:docPartObj>
    </w:sdtPr>
    <w:sdtEndPr>
      <w:rPr>
        <w:sz w:val="24"/>
        <w:szCs w:val="24"/>
      </w:rPr>
    </w:sdtEndPr>
    <w:sdtContent>
      <w:p>
        <w:pPr>
          <w:pStyle w:val="4"/>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4"/>
            <w:szCs w:val="24"/>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12186"/>
      <w:docPartObj>
        <w:docPartGallery w:val="autotext"/>
      </w:docPartObj>
    </w:sdtPr>
    <w:sdtEndPr>
      <w:rPr>
        <w:sz w:val="24"/>
        <w:szCs w:val="24"/>
      </w:rPr>
    </w:sdtEndPr>
    <w:sdtContent>
      <w:p>
        <w:pPr>
          <w:pStyle w:val="4"/>
          <w:jc w:val="center"/>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4"/>
            <w:szCs w:val="24"/>
          </w:rPr>
          <w:t xml:space="preserve"> —</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14361"/>
    <w:rsid w:val="24114361"/>
    <w:rsid w:val="41C4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787"/>
      <w:jc w:val="left"/>
      <w:outlineLvl w:val="0"/>
    </w:pPr>
    <w:rPr>
      <w:rFonts w:ascii="方正小标宋简体" w:hAnsi="方正小标宋简体" w:eastAsia="方正小标宋简体" w:cstheme="minorBidi"/>
      <w:kern w:val="0"/>
      <w:sz w:val="44"/>
      <w:szCs w:val="44"/>
      <w:lang w:eastAsia="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jc w:val="left"/>
    </w:pPr>
    <w:rPr>
      <w:rFonts w:ascii="仿宋_GB2312" w:hAnsi="仿宋_GB2312" w:eastAsia="仿宋_GB2312" w:cstheme="minorBidi"/>
      <w:kern w:val="0"/>
      <w:sz w:val="32"/>
      <w:szCs w:val="32"/>
      <w:lang w:eastAsia="en-US"/>
    </w:rPr>
  </w:style>
  <w:style w:type="paragraph" w:styleId="4">
    <w:name w:val="footer"/>
    <w:basedOn w:val="1"/>
    <w:unhideWhenUsed/>
    <w:qFormat/>
    <w:uiPriority w:val="99"/>
    <w:pPr>
      <w:tabs>
        <w:tab w:val="center" w:pos="4153"/>
        <w:tab w:val="right" w:pos="8306"/>
      </w:tabs>
      <w:snapToGrid w:val="0"/>
      <w:jc w:val="left"/>
    </w:pPr>
    <w:rPr>
      <w:rFonts w:ascii="Calibri" w:hAnsi="Calibri"/>
      <w:sz w:val="18"/>
      <w:szCs w:val="18"/>
    </w:rPr>
  </w:style>
  <w:style w:type="paragraph" w:customStyle="1" w:styleId="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8">
    <w:name w:val="Table Normal"/>
    <w:semiHidden/>
    <w:unhideWhenUsed/>
    <w:qFormat/>
    <w:uiPriority w:val="2"/>
    <w:pPr>
      <w:widowControl w:val="0"/>
      <w:spacing w:line="240" w:lineRule="auto"/>
      <w:jc w:val="left"/>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2899</Words>
  <Characters>2949</Characters>
  <Lines>0</Lines>
  <Paragraphs>0</Paragraphs>
  <TotalTime>12</TotalTime>
  <ScaleCrop>false</ScaleCrop>
  <LinksUpToDate>false</LinksUpToDate>
  <CharactersWithSpaces>3085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2021-03-25T00:57:00Z</dcterms:created>
  <dc:creator>轩宸</dc:creator>
  <cp:lastModifiedBy>百宝</cp:lastModifiedBy>
  <cp:lastPrinted>2021-03-25T01:08:00Z</cp:lastPrinted>
  <dcterms:modified xsi:type="dcterms:W3CDTF">2022-10-21T06:13:41Z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8B8383D904144B378002DD0FEC01A495</vt:lpwstr>
  </property>
</Properties>
</file>